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58" w:type="dxa"/>
        <w:tblInd w:w="-802" w:type="dxa"/>
        <w:tblLook w:val="04A0" w:firstRow="1" w:lastRow="0" w:firstColumn="1" w:lastColumn="0" w:noHBand="0" w:noVBand="1"/>
      </w:tblPr>
      <w:tblGrid>
        <w:gridCol w:w="2044"/>
        <w:gridCol w:w="9214"/>
      </w:tblGrid>
      <w:tr w:rsidR="009E7DE9" w:rsidRPr="009E7DE9" w:rsidTr="00781B01"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64B4" w:rsidRPr="009E7DE9" w:rsidRDefault="00CE64B4" w:rsidP="00781B01">
            <w:pPr>
              <w:spacing w:before="120" w:after="120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9E7DE9">
              <w:rPr>
                <w:rFonts w:ascii="Arial Narrow" w:hAnsi="Arial Narrow" w:cs="Arial"/>
              </w:rPr>
              <w:t>DESTINATAIRE :</w:t>
            </w:r>
            <w:r w:rsidR="00ED05E4" w:rsidRPr="009E7DE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64B4" w:rsidRPr="009E7DE9" w:rsidRDefault="00B2489B" w:rsidP="00792DFA">
            <w:pPr>
              <w:spacing w:before="120"/>
              <w:rPr>
                <w:rFonts w:ascii="Arial" w:hAnsi="Arial" w:cs="Arial"/>
              </w:rPr>
            </w:pPr>
            <w:r w:rsidRPr="009E7DE9">
              <w:rPr>
                <w:rFonts w:ascii="Arial" w:hAnsi="Arial" w:cs="Arial"/>
              </w:rPr>
              <w:t xml:space="preserve">Tous les employés </w:t>
            </w:r>
            <w:r w:rsidR="00510E29" w:rsidRPr="009E7DE9">
              <w:rPr>
                <w:rFonts w:ascii="Arial" w:hAnsi="Arial" w:cs="Arial"/>
              </w:rPr>
              <w:t xml:space="preserve">– </w:t>
            </w:r>
            <w:r w:rsidR="00792DFA" w:rsidRPr="009E7DE9">
              <w:rPr>
                <w:rFonts w:ascii="Arial" w:hAnsi="Arial" w:cs="Arial"/>
              </w:rPr>
              <w:t xml:space="preserve">CSN - </w:t>
            </w:r>
            <w:r w:rsidR="00510E29" w:rsidRPr="009E7DE9">
              <w:rPr>
                <w:rFonts w:ascii="Arial" w:hAnsi="Arial" w:cs="Arial"/>
              </w:rPr>
              <w:t xml:space="preserve">Unité générale </w:t>
            </w:r>
            <w:r w:rsidR="0037027E" w:rsidRPr="009E7DE9">
              <w:rPr>
                <w:rFonts w:ascii="Arial" w:hAnsi="Arial" w:cs="Arial"/>
              </w:rPr>
              <w:t xml:space="preserve"> </w:t>
            </w:r>
          </w:p>
        </w:tc>
      </w:tr>
      <w:tr w:rsidR="009E7DE9" w:rsidRPr="009E7DE9" w:rsidTr="00781B01">
        <w:tc>
          <w:tcPr>
            <w:tcW w:w="20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CE64B4" w:rsidP="00781B01">
            <w:pPr>
              <w:spacing w:before="120" w:after="120"/>
              <w:rPr>
                <w:rFonts w:ascii="Arial Narrow" w:hAnsi="Arial Narrow" w:cs="Arial"/>
              </w:rPr>
            </w:pPr>
            <w:r w:rsidRPr="009E7DE9">
              <w:rPr>
                <w:rFonts w:ascii="Arial Narrow" w:hAnsi="Arial Narrow" w:cs="Arial"/>
              </w:rPr>
              <w:t>EXPÉDITEUR :</w:t>
            </w:r>
          </w:p>
        </w:tc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B2489B" w:rsidP="008B0BBE">
            <w:pPr>
              <w:spacing w:before="120"/>
              <w:rPr>
                <w:rFonts w:ascii="Arial" w:hAnsi="Arial" w:cs="Arial"/>
              </w:rPr>
            </w:pPr>
            <w:r w:rsidRPr="003A6F1D">
              <w:rPr>
                <w:rFonts w:ascii="Arial" w:hAnsi="Arial" w:cs="Arial"/>
              </w:rPr>
              <w:t>Annie Dufour</w:t>
            </w:r>
            <w:r w:rsidR="00ED05E4" w:rsidRPr="009E7DE9">
              <w:rPr>
                <w:rFonts w:ascii="Arial" w:hAnsi="Arial" w:cs="Arial"/>
              </w:rPr>
              <w:t xml:space="preserve">, </w:t>
            </w:r>
            <w:r w:rsidRPr="009E7DE9">
              <w:rPr>
                <w:rFonts w:ascii="Arial" w:hAnsi="Arial" w:cs="Arial"/>
              </w:rPr>
              <w:t>SDO</w:t>
            </w:r>
            <w:r w:rsidR="008B0BBE">
              <w:rPr>
                <w:rFonts w:ascii="Arial" w:hAnsi="Arial" w:cs="Arial"/>
              </w:rPr>
              <w:t xml:space="preserve"> </w:t>
            </w:r>
            <w:r w:rsidRPr="009E7DE9">
              <w:rPr>
                <w:rFonts w:ascii="Arial" w:hAnsi="Arial" w:cs="Arial"/>
              </w:rPr>
              <w:t xml:space="preserve">- </w:t>
            </w:r>
            <w:r w:rsidR="0037027E" w:rsidRPr="009E7DE9">
              <w:rPr>
                <w:rFonts w:ascii="Arial" w:hAnsi="Arial" w:cs="Arial"/>
              </w:rPr>
              <w:t xml:space="preserve">Groupe </w:t>
            </w:r>
            <w:r w:rsidR="00510E29" w:rsidRPr="009E7DE9">
              <w:rPr>
                <w:rFonts w:ascii="Arial" w:hAnsi="Arial" w:cs="Arial"/>
              </w:rPr>
              <w:t>h</w:t>
            </w:r>
            <w:r w:rsidR="0037027E" w:rsidRPr="009E7DE9">
              <w:rPr>
                <w:rFonts w:ascii="Arial" w:hAnsi="Arial" w:cs="Arial"/>
              </w:rPr>
              <w:t>oraires</w:t>
            </w:r>
            <w:r w:rsidR="008B0BBE">
              <w:rPr>
                <w:rFonts w:ascii="Arial" w:hAnsi="Arial" w:cs="Arial"/>
              </w:rPr>
              <w:t xml:space="preserve"> et Syndicat CSN-UG</w:t>
            </w:r>
          </w:p>
        </w:tc>
      </w:tr>
      <w:tr w:rsidR="009E7DE9" w:rsidRPr="009E7DE9" w:rsidTr="00781B01">
        <w:tc>
          <w:tcPr>
            <w:tcW w:w="20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CE64B4" w:rsidP="00781B01">
            <w:pPr>
              <w:spacing w:before="120" w:after="120"/>
              <w:rPr>
                <w:rFonts w:ascii="Arial Narrow" w:hAnsi="Arial Narrow" w:cs="Arial"/>
              </w:rPr>
            </w:pPr>
            <w:r w:rsidRPr="009E7DE9">
              <w:rPr>
                <w:rFonts w:ascii="Arial Narrow" w:hAnsi="Arial Narrow" w:cs="Arial"/>
              </w:rPr>
              <w:t>DATE :</w:t>
            </w:r>
          </w:p>
        </w:tc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8B0BBE" w:rsidP="00792D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35E7C" w:rsidRPr="009E7DE9">
              <w:rPr>
                <w:rFonts w:ascii="Arial" w:hAnsi="Arial" w:cs="Arial"/>
              </w:rPr>
              <w:t xml:space="preserve"> </w:t>
            </w:r>
            <w:r w:rsidR="00792DFA" w:rsidRPr="009E7DE9">
              <w:rPr>
                <w:rFonts w:ascii="Arial" w:hAnsi="Arial" w:cs="Arial"/>
              </w:rPr>
              <w:t>mars 2016</w:t>
            </w:r>
          </w:p>
        </w:tc>
      </w:tr>
      <w:tr w:rsidR="009E7DE9" w:rsidRPr="009E7DE9" w:rsidTr="001005C4">
        <w:trPr>
          <w:trHeight w:val="242"/>
        </w:trPr>
        <w:tc>
          <w:tcPr>
            <w:tcW w:w="20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CE64B4" w:rsidP="00781B01">
            <w:pPr>
              <w:spacing w:before="120" w:after="120"/>
              <w:rPr>
                <w:rFonts w:ascii="Arial Narrow" w:hAnsi="Arial Narrow" w:cs="Arial"/>
              </w:rPr>
            </w:pPr>
            <w:r w:rsidRPr="009E7DE9">
              <w:rPr>
                <w:rFonts w:ascii="Arial Narrow" w:hAnsi="Arial Narrow" w:cs="Arial"/>
              </w:rPr>
              <w:t>OBJET :</w:t>
            </w:r>
          </w:p>
        </w:tc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64B4" w:rsidRPr="009E7DE9" w:rsidRDefault="00792DFA" w:rsidP="00792DFA">
            <w:pPr>
              <w:spacing w:before="120"/>
              <w:rPr>
                <w:rFonts w:ascii="Arial" w:hAnsi="Arial" w:cs="Arial"/>
              </w:rPr>
            </w:pPr>
            <w:r w:rsidRPr="009E7DE9">
              <w:rPr>
                <w:rFonts w:ascii="Arial" w:hAnsi="Arial" w:cs="Arial"/>
              </w:rPr>
              <w:t>Application de la clause 14.6 – Deuxième étape</w:t>
            </w:r>
          </w:p>
        </w:tc>
      </w:tr>
    </w:tbl>
    <w:p w:rsidR="00C23B0D" w:rsidRPr="009E7DE9" w:rsidRDefault="00C23B0D" w:rsidP="00C23B0D">
      <w:pPr>
        <w:rPr>
          <w:rFonts w:ascii="Arial" w:hAnsi="Arial" w:cs="Arial"/>
        </w:rPr>
      </w:pPr>
    </w:p>
    <w:p w:rsidR="00792DFA" w:rsidRPr="009E7DE9" w:rsidRDefault="00792DFA" w:rsidP="00F9345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E7DE9">
        <w:rPr>
          <w:rFonts w:ascii="Arial" w:hAnsi="Arial" w:cs="Arial"/>
          <w:sz w:val="20"/>
          <w:szCs w:val="20"/>
        </w:rPr>
        <w:t xml:space="preserve">Suite à une entente entre les parties syndicale et patronale, il a été convenu de l’application de la deuxième étape prévue à l’article 14.6. Le tout sera traité comme suit </w:t>
      </w:r>
      <w:r w:rsidRPr="009E7DE9">
        <w:rPr>
          <w:rFonts w:ascii="Arial" w:hAnsi="Arial" w:cs="Arial"/>
          <w:sz w:val="20"/>
          <w:szCs w:val="20"/>
          <w:u w:val="single"/>
        </w:rPr>
        <w:t>pour l’année financière 2016-2017 :</w:t>
      </w:r>
    </w:p>
    <w:p w:rsidR="00792DFA" w:rsidRPr="009E7DE9" w:rsidRDefault="00792DFA" w:rsidP="00F9345C">
      <w:pPr>
        <w:pStyle w:val="Paragraphedeliste"/>
        <w:jc w:val="both"/>
        <w:rPr>
          <w:sz w:val="20"/>
          <w:szCs w:val="20"/>
        </w:rPr>
      </w:pPr>
    </w:p>
    <w:p w:rsidR="00257C48" w:rsidRDefault="00257C48" w:rsidP="00F9345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 xml:space="preserve">Toutes demandes de fériés effectuées entre le 28 mars 2016 à minuit et le 7 avril 2016 à 23h59 doivent être des demandes de congés fériés jusqu’au 24 avril 2016 inclusivement. </w:t>
      </w:r>
      <w:r w:rsidR="009E7DE9" w:rsidRPr="009E7DE9">
        <w:rPr>
          <w:rFonts w:ascii="Arial" w:hAnsi="Arial" w:cs="Arial"/>
          <w:sz w:val="20"/>
          <w:szCs w:val="20"/>
        </w:rPr>
        <w:t>Ainsi, t</w:t>
      </w:r>
      <w:r w:rsidRPr="009E7DE9">
        <w:rPr>
          <w:rFonts w:ascii="Arial" w:hAnsi="Arial" w:cs="Arial"/>
          <w:sz w:val="20"/>
          <w:szCs w:val="20"/>
        </w:rPr>
        <w:t xml:space="preserve">outes les demandes où l’employé désire un congé férié pour les 25 avril 2016 ou des dates suivantes seront </w:t>
      </w:r>
      <w:r w:rsidR="009E7DE9" w:rsidRPr="009E7DE9">
        <w:rPr>
          <w:rFonts w:ascii="Arial" w:hAnsi="Arial" w:cs="Arial"/>
          <w:sz w:val="20"/>
          <w:szCs w:val="20"/>
        </w:rPr>
        <w:t>détruites.</w:t>
      </w:r>
    </w:p>
    <w:p w:rsidR="009E7DE9" w:rsidRDefault="009E7DE9" w:rsidP="00F9345C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</w:p>
    <w:p w:rsidR="007C244D" w:rsidRPr="003A6F1D" w:rsidRDefault="003A6F1D" w:rsidP="003A6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la suite, </w:t>
      </w:r>
    </w:p>
    <w:p w:rsidR="007C244D" w:rsidRPr="003A6F1D" w:rsidRDefault="007C244D" w:rsidP="003A6F1D">
      <w:pPr>
        <w:rPr>
          <w:rFonts w:ascii="Arial" w:hAnsi="Arial" w:cs="Arial"/>
          <w:sz w:val="20"/>
          <w:szCs w:val="20"/>
          <w:u w:val="single"/>
        </w:rPr>
      </w:pPr>
      <w:r w:rsidRPr="003A6F1D">
        <w:rPr>
          <w:rFonts w:ascii="Arial" w:hAnsi="Arial" w:cs="Arial"/>
          <w:sz w:val="20"/>
          <w:szCs w:val="20"/>
          <w:u w:val="single"/>
        </w:rPr>
        <w:t>Lorsque le quota est disponible</w:t>
      </w:r>
    </w:p>
    <w:p w:rsidR="00257C48" w:rsidRPr="009E7DE9" w:rsidRDefault="00257C48" w:rsidP="00F9345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 xml:space="preserve">Toutes les demandes de fériés couvrant les congés entre le 25 avril 2016 et le 19 mars 2017 seront considérées à partir du 8 avril 2016 à minuit soit à la fermeture de la première étape, et ce, par </w:t>
      </w:r>
      <w:r w:rsidRPr="009E7DE9">
        <w:rPr>
          <w:rFonts w:ascii="Arial" w:hAnsi="Arial" w:cs="Arial"/>
          <w:sz w:val="20"/>
          <w:szCs w:val="20"/>
          <w:u w:val="single"/>
        </w:rPr>
        <w:t>période de 24 heures</w:t>
      </w:r>
      <w:r w:rsidRPr="009E7DE9">
        <w:rPr>
          <w:rFonts w:ascii="Arial" w:hAnsi="Arial" w:cs="Arial"/>
          <w:sz w:val="20"/>
          <w:szCs w:val="20"/>
        </w:rPr>
        <w:t xml:space="preserve">* dans la mesure où </w:t>
      </w:r>
      <w:r w:rsidRPr="009E7DE9">
        <w:rPr>
          <w:rFonts w:ascii="Arial" w:hAnsi="Arial" w:cs="Arial"/>
          <w:sz w:val="20"/>
          <w:szCs w:val="20"/>
          <w:u w:val="single"/>
        </w:rPr>
        <w:t>le quota de férié est disponible</w:t>
      </w:r>
      <w:r w:rsidRPr="009E7DE9">
        <w:rPr>
          <w:rFonts w:ascii="Arial" w:hAnsi="Arial" w:cs="Arial"/>
          <w:sz w:val="20"/>
          <w:szCs w:val="20"/>
        </w:rPr>
        <w:t xml:space="preserve">**. </w:t>
      </w:r>
    </w:p>
    <w:p w:rsidR="00257C48" w:rsidRPr="009E7DE9" w:rsidRDefault="00257C48" w:rsidP="00F9345C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257C48" w:rsidRPr="009E7DE9" w:rsidRDefault="00257C48" w:rsidP="00F9345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>Exemple : deux employés font une demande, en date du 8 avril</w:t>
      </w:r>
      <w:r w:rsidR="009E7DE9">
        <w:rPr>
          <w:rFonts w:ascii="Arial" w:hAnsi="Arial" w:cs="Arial"/>
          <w:sz w:val="20"/>
          <w:szCs w:val="20"/>
        </w:rPr>
        <w:t xml:space="preserve"> 2016</w:t>
      </w:r>
      <w:r w:rsidRPr="009E7DE9">
        <w:rPr>
          <w:rFonts w:ascii="Arial" w:hAnsi="Arial" w:cs="Arial"/>
          <w:sz w:val="20"/>
          <w:szCs w:val="20"/>
        </w:rPr>
        <w:t>, pour un congé le 23 juin 2016 où le quota férié est disponible, peu importe l’heure à laquelle la demande sera déposée le 8 avril, c’est l’ancienneté qui déterminera qui aura le congé du 23 juin</w:t>
      </w:r>
      <w:r w:rsidR="009E7DE9">
        <w:rPr>
          <w:rFonts w:ascii="Arial" w:hAnsi="Arial" w:cs="Arial"/>
          <w:sz w:val="20"/>
          <w:szCs w:val="20"/>
        </w:rPr>
        <w:t xml:space="preserve"> 2016</w:t>
      </w:r>
      <w:r w:rsidRPr="009E7DE9">
        <w:rPr>
          <w:rFonts w:ascii="Arial" w:hAnsi="Arial" w:cs="Arial"/>
          <w:sz w:val="20"/>
          <w:szCs w:val="20"/>
        </w:rPr>
        <w:t xml:space="preserve">. </w:t>
      </w:r>
    </w:p>
    <w:p w:rsidR="002D1799" w:rsidRPr="009E7DE9" w:rsidRDefault="002D1799" w:rsidP="00F9345C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 xml:space="preserve">*La période de 24 heures débute </w:t>
      </w:r>
      <w:r w:rsidR="00257C48" w:rsidRPr="009E7DE9">
        <w:rPr>
          <w:rFonts w:ascii="Arial" w:hAnsi="Arial" w:cs="Arial"/>
          <w:sz w:val="20"/>
          <w:szCs w:val="20"/>
        </w:rPr>
        <w:t>à</w:t>
      </w:r>
      <w:r w:rsidRPr="009E7DE9">
        <w:rPr>
          <w:rFonts w:ascii="Arial" w:hAnsi="Arial" w:cs="Arial"/>
          <w:sz w:val="20"/>
          <w:szCs w:val="20"/>
        </w:rPr>
        <w:t xml:space="preserve"> 00h00 et se termine à 23h59.</w:t>
      </w:r>
    </w:p>
    <w:p w:rsidR="002D1799" w:rsidRPr="009E7DE9" w:rsidRDefault="002D1799" w:rsidP="00F9345C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>**Nous appliquerons la période de 24 heures de dépôt des demandes uniquement lorsque le quota de férié est disponible.</w:t>
      </w:r>
    </w:p>
    <w:p w:rsidR="002D1799" w:rsidRPr="009E7DE9" w:rsidRDefault="002D1799" w:rsidP="00F9345C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7C244D" w:rsidRPr="007C244D" w:rsidRDefault="007C244D" w:rsidP="007C244D">
      <w:pPr>
        <w:jc w:val="both"/>
        <w:rPr>
          <w:rFonts w:ascii="Arial" w:hAnsi="Arial" w:cs="Arial"/>
          <w:sz w:val="20"/>
          <w:szCs w:val="20"/>
          <w:u w:val="single"/>
        </w:rPr>
      </w:pPr>
      <w:r w:rsidRPr="007C244D">
        <w:rPr>
          <w:rFonts w:ascii="Arial" w:hAnsi="Arial" w:cs="Arial"/>
          <w:sz w:val="20"/>
          <w:szCs w:val="20"/>
          <w:u w:val="single"/>
        </w:rPr>
        <w:t>Lorsqu’il y a jumelage des quotas vacances et fériés</w:t>
      </w:r>
    </w:p>
    <w:p w:rsidR="007C244D" w:rsidRDefault="002D1799" w:rsidP="007C24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44D">
        <w:rPr>
          <w:rFonts w:ascii="Arial" w:hAnsi="Arial" w:cs="Arial"/>
          <w:sz w:val="20"/>
          <w:szCs w:val="20"/>
        </w:rPr>
        <w:t xml:space="preserve">Toujours en deuxième étape : Si le </w:t>
      </w:r>
      <w:r w:rsidRPr="007C244D">
        <w:rPr>
          <w:rFonts w:ascii="Arial" w:hAnsi="Arial" w:cs="Arial"/>
          <w:sz w:val="20"/>
          <w:szCs w:val="20"/>
          <w:u w:val="single"/>
        </w:rPr>
        <w:t>quota de férié n’est pas disponible</w:t>
      </w:r>
      <w:r w:rsidRPr="007C244D">
        <w:rPr>
          <w:rFonts w:ascii="Arial" w:hAnsi="Arial" w:cs="Arial"/>
          <w:sz w:val="20"/>
          <w:szCs w:val="20"/>
        </w:rPr>
        <w:t>, les demandes sont mises en attente et le congé sera octroyé par ancienneté, parmi toutes les demandes en attente dans la mesure où le quota devient disponible 7 jours avant l’affichage de l’horaire en raison du jumelage de quota vacances-fériés.</w:t>
      </w:r>
    </w:p>
    <w:p w:rsidR="007C244D" w:rsidRDefault="007C244D" w:rsidP="007C244D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</w:p>
    <w:p w:rsidR="007C244D" w:rsidRDefault="007C244D" w:rsidP="007C244D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</w:p>
    <w:p w:rsidR="007C244D" w:rsidRDefault="007C244D" w:rsidP="007C244D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</w:p>
    <w:p w:rsidR="007C244D" w:rsidRDefault="007C244D" w:rsidP="007C244D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</w:p>
    <w:p w:rsidR="002D1799" w:rsidRPr="007C244D" w:rsidRDefault="002D1799" w:rsidP="007C244D">
      <w:pPr>
        <w:pStyle w:val="Paragraphedeliste"/>
        <w:ind w:left="720"/>
        <w:jc w:val="both"/>
        <w:rPr>
          <w:rFonts w:ascii="Arial" w:hAnsi="Arial" w:cs="Arial"/>
          <w:sz w:val="20"/>
          <w:szCs w:val="20"/>
        </w:rPr>
      </w:pPr>
      <w:r w:rsidRPr="007C244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E7DE9" w:rsidRPr="007C244D" w:rsidRDefault="007C244D" w:rsidP="007C244D">
      <w:pPr>
        <w:jc w:val="both"/>
        <w:rPr>
          <w:rFonts w:ascii="Arial" w:hAnsi="Arial" w:cs="Arial"/>
          <w:sz w:val="20"/>
          <w:szCs w:val="20"/>
          <w:u w:val="single"/>
        </w:rPr>
      </w:pPr>
      <w:r w:rsidRPr="007C244D">
        <w:rPr>
          <w:rFonts w:ascii="Arial" w:hAnsi="Arial" w:cs="Arial"/>
          <w:sz w:val="20"/>
          <w:szCs w:val="20"/>
          <w:u w:val="single"/>
        </w:rPr>
        <w:t>Lorsqu’il y a annulation d’un férié</w:t>
      </w:r>
    </w:p>
    <w:p w:rsidR="00792DFA" w:rsidRPr="009E7DE9" w:rsidRDefault="00792DFA" w:rsidP="00F9345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E7DE9">
        <w:rPr>
          <w:rFonts w:ascii="Arial" w:hAnsi="Arial" w:cs="Arial"/>
          <w:sz w:val="20"/>
          <w:szCs w:val="20"/>
        </w:rPr>
        <w:t xml:space="preserve">Lorsque le quota de férié devient disponible suite à l’annulation d’un férié, ce congé férié est octroyé immédiatement par ancienneté, parmi toutes les demandes qui ont été mises en attente, peu importe à quelle date la demande a été formulée. </w:t>
      </w:r>
    </w:p>
    <w:p w:rsidR="00792DFA" w:rsidRPr="009E7DE9" w:rsidRDefault="00792DFA" w:rsidP="00F9345C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F601F4" w:rsidRPr="009E7DE9" w:rsidRDefault="009E7DE9" w:rsidP="00F93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toutes questions, veuillez-vous référer à votre gestionnaire.</w:t>
      </w:r>
    </w:p>
    <w:p w:rsidR="00510E29" w:rsidRPr="009E7DE9" w:rsidRDefault="00510E29" w:rsidP="00C23B0D">
      <w:pPr>
        <w:rPr>
          <w:rFonts w:ascii="Arial" w:hAnsi="Arial" w:cs="Arial"/>
          <w:sz w:val="20"/>
          <w:szCs w:val="20"/>
        </w:rPr>
      </w:pPr>
    </w:p>
    <w:p w:rsidR="0037027E" w:rsidRPr="009E7DE9" w:rsidRDefault="00792DFA" w:rsidP="00C23B0D">
      <w:pPr>
        <w:rPr>
          <w:rFonts w:ascii="Arial" w:hAnsi="Arial" w:cs="Arial"/>
          <w:sz w:val="20"/>
          <w:szCs w:val="20"/>
        </w:rPr>
      </w:pPr>
      <w:r w:rsidRPr="007C244D">
        <w:rPr>
          <w:rFonts w:ascii="Arial" w:hAnsi="Arial" w:cs="Arial"/>
          <w:sz w:val="20"/>
          <w:szCs w:val="20"/>
        </w:rPr>
        <w:t xml:space="preserve">Annie Dufour, SDO - </w:t>
      </w:r>
      <w:r w:rsidR="00510E29" w:rsidRPr="007C244D">
        <w:rPr>
          <w:rFonts w:ascii="Arial" w:hAnsi="Arial" w:cs="Arial"/>
          <w:sz w:val="20"/>
          <w:szCs w:val="20"/>
        </w:rPr>
        <w:t>Groupe horaires</w:t>
      </w:r>
      <w:r w:rsidR="00510E29" w:rsidRPr="009E7DE9">
        <w:rPr>
          <w:rFonts w:ascii="Arial" w:hAnsi="Arial" w:cs="Arial"/>
          <w:sz w:val="20"/>
          <w:szCs w:val="20"/>
        </w:rPr>
        <w:t xml:space="preserve"> </w:t>
      </w:r>
      <w:r w:rsidR="008B0BBE">
        <w:rPr>
          <w:rFonts w:ascii="Arial" w:hAnsi="Arial" w:cs="Arial"/>
          <w:sz w:val="20"/>
          <w:szCs w:val="20"/>
        </w:rPr>
        <w:t>et Syndicat CSN - UG</w:t>
      </w:r>
      <w:r w:rsidR="0037027E" w:rsidRPr="009E7DE9">
        <w:rPr>
          <w:rFonts w:ascii="Arial" w:hAnsi="Arial" w:cs="Arial"/>
          <w:sz w:val="20"/>
          <w:szCs w:val="20"/>
        </w:rPr>
        <w:tab/>
      </w:r>
    </w:p>
    <w:p w:rsidR="00510E29" w:rsidRPr="009E7DE9" w:rsidRDefault="00510E29" w:rsidP="005012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9E7DE9" w:rsidRPr="00F9345C" w:rsidRDefault="00510E29" w:rsidP="005012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9E7DE9">
        <w:rPr>
          <w:rFonts w:ascii="Arial" w:eastAsia="Times New Roman" w:hAnsi="Arial" w:cs="Arial"/>
          <w:sz w:val="20"/>
          <w:szCs w:val="20"/>
          <w:lang w:eastAsia="fr-CA"/>
        </w:rPr>
        <w:t>c. c.:</w:t>
      </w:r>
      <w:r w:rsidR="005012FD" w:rsidRPr="009E7DE9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9E7DE9" w:rsidRPr="00F9345C">
        <w:rPr>
          <w:rFonts w:ascii="Arial" w:eastAsia="Times New Roman" w:hAnsi="Arial" w:cs="Arial"/>
          <w:sz w:val="20"/>
          <w:szCs w:val="20"/>
          <w:lang w:eastAsia="fr-CA"/>
        </w:rPr>
        <w:t>SDO et CDO –</w:t>
      </w:r>
      <w:r w:rsidR="00F601F4" w:rsidRPr="00F9345C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E7DE9" w:rsidRPr="00F9345C">
        <w:rPr>
          <w:rFonts w:ascii="Arial" w:eastAsia="Times New Roman" w:hAnsi="Arial" w:cs="Arial"/>
          <w:sz w:val="20"/>
          <w:szCs w:val="20"/>
          <w:lang w:eastAsia="fr-CA"/>
        </w:rPr>
        <w:t>Tous les secteurs de l’UG</w:t>
      </w:r>
    </w:p>
    <w:p w:rsidR="009E7DE9" w:rsidRPr="00F9345C" w:rsidRDefault="00335E7C" w:rsidP="009E7D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F9345C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9E7DE9" w:rsidRPr="00F9345C">
        <w:rPr>
          <w:rFonts w:ascii="Arial" w:eastAsia="Times New Roman" w:hAnsi="Arial" w:cs="Arial"/>
          <w:sz w:val="20"/>
          <w:szCs w:val="20"/>
          <w:lang w:eastAsia="fr-CA"/>
        </w:rPr>
        <w:t xml:space="preserve">Agentes et techniciennes </w:t>
      </w:r>
      <w:r w:rsidR="00F9345C">
        <w:rPr>
          <w:rFonts w:ascii="Arial" w:eastAsia="Times New Roman" w:hAnsi="Arial" w:cs="Arial"/>
          <w:sz w:val="20"/>
          <w:szCs w:val="20"/>
          <w:lang w:eastAsia="fr-CA"/>
        </w:rPr>
        <w:t xml:space="preserve">des secteurs UG </w:t>
      </w:r>
      <w:r w:rsidR="009E7DE9" w:rsidRPr="00F9345C">
        <w:rPr>
          <w:rFonts w:ascii="Arial" w:eastAsia="Times New Roman" w:hAnsi="Arial" w:cs="Arial"/>
          <w:sz w:val="20"/>
          <w:szCs w:val="20"/>
          <w:lang w:eastAsia="fr-CA"/>
        </w:rPr>
        <w:t>– Groupe horaires</w:t>
      </w:r>
    </w:p>
    <w:p w:rsidR="009E7DE9" w:rsidRPr="00F9345C" w:rsidRDefault="009E7DE9" w:rsidP="009E7DE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CA"/>
        </w:rPr>
      </w:pPr>
      <w:r w:rsidRPr="00F9345C">
        <w:rPr>
          <w:rFonts w:ascii="Arial" w:eastAsia="Times New Roman" w:hAnsi="Arial" w:cs="Arial"/>
          <w:sz w:val="20"/>
          <w:szCs w:val="20"/>
          <w:lang w:eastAsia="fr-CA"/>
        </w:rPr>
        <w:t>Gina St-Onge, Coordonnatrice, Groupe horaires</w:t>
      </w:r>
    </w:p>
    <w:p w:rsidR="005012FD" w:rsidRPr="00F9345C" w:rsidRDefault="00F9345C" w:rsidP="008B0BB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sz w:val="20"/>
          <w:szCs w:val="20"/>
          <w:lang w:eastAsia="fr-CA"/>
        </w:rPr>
        <w:t>Conseillères en relations professionnelles des secteurs UG – Direction des RH</w:t>
      </w:r>
    </w:p>
    <w:p w:rsidR="005012FD" w:rsidRPr="00F9345C" w:rsidRDefault="005012FD" w:rsidP="00257D0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CA"/>
        </w:rPr>
      </w:pPr>
    </w:p>
    <w:sectPr w:rsidR="005012FD" w:rsidRPr="00F9345C" w:rsidSect="001E712C">
      <w:headerReference w:type="first" r:id="rId9"/>
      <w:footerReference w:type="first" r:id="rId10"/>
      <w:pgSz w:w="12240" w:h="15840" w:code="119"/>
      <w:pgMar w:top="1278" w:right="1418" w:bottom="1440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5" w:rsidRDefault="003F3205" w:rsidP="000716B0">
      <w:pPr>
        <w:spacing w:after="0" w:line="240" w:lineRule="auto"/>
      </w:pPr>
      <w:r>
        <w:separator/>
      </w:r>
    </w:p>
  </w:endnote>
  <w:endnote w:type="continuationSeparator" w:id="0">
    <w:p w:rsidR="003F3205" w:rsidRDefault="003F3205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DD" w:rsidRDefault="0012506E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44EE8DFF" wp14:editId="0ECA55D8">
          <wp:simplePos x="0" y="0"/>
          <wp:positionH relativeFrom="column">
            <wp:posOffset>-862330</wp:posOffset>
          </wp:positionH>
          <wp:positionV relativeFrom="paragraph">
            <wp:posOffset>-448945</wp:posOffset>
          </wp:positionV>
          <wp:extent cx="7720330" cy="897255"/>
          <wp:effectExtent l="0" t="0" r="0" b="0"/>
          <wp:wrapThrough wrapText="bothSides">
            <wp:wrapPolygon edited="0">
              <wp:start x="0" y="0"/>
              <wp:lineTo x="0" y="21096"/>
              <wp:lineTo x="21532" y="21096"/>
              <wp:lineTo x="2153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Q_Slogan_Seul_Droite_F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33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5" w:rsidRDefault="003F3205" w:rsidP="000716B0">
      <w:pPr>
        <w:spacing w:after="0" w:line="240" w:lineRule="auto"/>
      </w:pPr>
      <w:r>
        <w:separator/>
      </w:r>
    </w:p>
  </w:footnote>
  <w:footnote w:type="continuationSeparator" w:id="0">
    <w:p w:rsidR="003F3205" w:rsidRDefault="003F3205" w:rsidP="0007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2C" w:rsidRDefault="00D927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EE9EF73" wp14:editId="5F93D210">
          <wp:simplePos x="0" y="0"/>
          <wp:positionH relativeFrom="column">
            <wp:posOffset>-900430</wp:posOffset>
          </wp:positionH>
          <wp:positionV relativeFrom="paragraph">
            <wp:posOffset>-456565</wp:posOffset>
          </wp:positionV>
          <wp:extent cx="7772400" cy="2331720"/>
          <wp:effectExtent l="0" t="0" r="0" b="0"/>
          <wp:wrapThrough wrapText="bothSides">
            <wp:wrapPolygon edited="0">
              <wp:start x="0" y="0"/>
              <wp:lineTo x="0" y="21353"/>
              <wp:lineTo x="21547" y="21353"/>
              <wp:lineTo x="2154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Note_Particules_Fran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33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2998" w:rsidRDefault="00FA2998">
    <w:pPr>
      <w:pStyle w:val="En-tte"/>
    </w:pPr>
  </w:p>
  <w:p w:rsidR="00FA2998" w:rsidRDefault="00FA2998">
    <w:pPr>
      <w:pStyle w:val="En-tte"/>
    </w:pPr>
  </w:p>
  <w:p w:rsidR="001E712C" w:rsidRDefault="001E712C">
    <w:pPr>
      <w:pStyle w:val="En-tte"/>
    </w:pPr>
  </w:p>
  <w:p w:rsidR="00D23347" w:rsidRDefault="00D23347">
    <w:pPr>
      <w:pStyle w:val="En-tte"/>
    </w:pPr>
  </w:p>
  <w:p w:rsidR="001E712C" w:rsidRDefault="001E712C">
    <w:pPr>
      <w:pStyle w:val="En-tte"/>
    </w:pPr>
  </w:p>
  <w:p w:rsidR="001E712C" w:rsidRDefault="001E712C">
    <w:pPr>
      <w:pStyle w:val="En-tte"/>
    </w:pPr>
  </w:p>
  <w:p w:rsidR="001E712C" w:rsidRDefault="001E712C">
    <w:pPr>
      <w:pStyle w:val="En-tte"/>
    </w:pPr>
  </w:p>
  <w:p w:rsidR="00D92770" w:rsidRDefault="00D92770">
    <w:pPr>
      <w:pStyle w:val="En-tte"/>
    </w:pPr>
  </w:p>
  <w:p w:rsidR="00D92770" w:rsidRDefault="00D92770">
    <w:pPr>
      <w:pStyle w:val="En-tte"/>
    </w:pPr>
  </w:p>
  <w:p w:rsidR="00D92770" w:rsidRDefault="00D92770">
    <w:pPr>
      <w:pStyle w:val="En-tte"/>
    </w:pPr>
  </w:p>
  <w:p w:rsidR="001E712C" w:rsidRDefault="001E71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14D"/>
    <w:multiLevelType w:val="hybridMultilevel"/>
    <w:tmpl w:val="0658B328"/>
    <w:lvl w:ilvl="0" w:tplc="0180D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80C"/>
    <w:multiLevelType w:val="hybridMultilevel"/>
    <w:tmpl w:val="3DB84CC4"/>
    <w:lvl w:ilvl="0" w:tplc="2230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6124"/>
    <w:multiLevelType w:val="hybridMultilevel"/>
    <w:tmpl w:val="B73C15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4219D"/>
    <w:multiLevelType w:val="hybridMultilevel"/>
    <w:tmpl w:val="2AF0C0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0"/>
    <w:rsid w:val="000716B0"/>
    <w:rsid w:val="000A2194"/>
    <w:rsid w:val="000A33ED"/>
    <w:rsid w:val="001005C4"/>
    <w:rsid w:val="00123BC9"/>
    <w:rsid w:val="0012506E"/>
    <w:rsid w:val="00131669"/>
    <w:rsid w:val="00132D4E"/>
    <w:rsid w:val="001B569D"/>
    <w:rsid w:val="001E712C"/>
    <w:rsid w:val="002228A0"/>
    <w:rsid w:val="00237191"/>
    <w:rsid w:val="00257C48"/>
    <w:rsid w:val="00257D0B"/>
    <w:rsid w:val="002D1799"/>
    <w:rsid w:val="00335E7C"/>
    <w:rsid w:val="0037027E"/>
    <w:rsid w:val="003A6F1D"/>
    <w:rsid w:val="003D3293"/>
    <w:rsid w:val="003F3205"/>
    <w:rsid w:val="00400D5D"/>
    <w:rsid w:val="0040581E"/>
    <w:rsid w:val="00411B39"/>
    <w:rsid w:val="00427975"/>
    <w:rsid w:val="005012FD"/>
    <w:rsid w:val="00510E29"/>
    <w:rsid w:val="00532FF8"/>
    <w:rsid w:val="00575515"/>
    <w:rsid w:val="005B2160"/>
    <w:rsid w:val="00637E7C"/>
    <w:rsid w:val="00747E94"/>
    <w:rsid w:val="00754A7B"/>
    <w:rsid w:val="00765BA9"/>
    <w:rsid w:val="00790F73"/>
    <w:rsid w:val="00792DFA"/>
    <w:rsid w:val="007C244D"/>
    <w:rsid w:val="007F2C2D"/>
    <w:rsid w:val="008B0BBE"/>
    <w:rsid w:val="008C5965"/>
    <w:rsid w:val="00930037"/>
    <w:rsid w:val="00964E07"/>
    <w:rsid w:val="009D6374"/>
    <w:rsid w:val="009E7DE9"/>
    <w:rsid w:val="00A0271A"/>
    <w:rsid w:val="00A0422C"/>
    <w:rsid w:val="00A35742"/>
    <w:rsid w:val="00A5211C"/>
    <w:rsid w:val="00A867F0"/>
    <w:rsid w:val="00AD20F9"/>
    <w:rsid w:val="00AF383D"/>
    <w:rsid w:val="00B11702"/>
    <w:rsid w:val="00B2489B"/>
    <w:rsid w:val="00B63BAE"/>
    <w:rsid w:val="00B6559D"/>
    <w:rsid w:val="00C1553F"/>
    <w:rsid w:val="00C23B0D"/>
    <w:rsid w:val="00C33705"/>
    <w:rsid w:val="00C6519E"/>
    <w:rsid w:val="00C748C3"/>
    <w:rsid w:val="00CE64B4"/>
    <w:rsid w:val="00CF5A38"/>
    <w:rsid w:val="00D23347"/>
    <w:rsid w:val="00D57628"/>
    <w:rsid w:val="00D92770"/>
    <w:rsid w:val="00D93BDD"/>
    <w:rsid w:val="00DA184E"/>
    <w:rsid w:val="00DD0A25"/>
    <w:rsid w:val="00E41160"/>
    <w:rsid w:val="00E41B69"/>
    <w:rsid w:val="00E5445E"/>
    <w:rsid w:val="00E56572"/>
    <w:rsid w:val="00ED05E4"/>
    <w:rsid w:val="00F012B0"/>
    <w:rsid w:val="00F601F4"/>
    <w:rsid w:val="00F65FD2"/>
    <w:rsid w:val="00F9345C"/>
    <w:rsid w:val="00FA2998"/>
    <w:rsid w:val="00FB054B"/>
    <w:rsid w:val="00FC4180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6B0"/>
  </w:style>
  <w:style w:type="paragraph" w:styleId="Pieddepage">
    <w:name w:val="footer"/>
    <w:basedOn w:val="Normal"/>
    <w:link w:val="PieddepageCar"/>
    <w:uiPriority w:val="99"/>
    <w:unhideWhenUsed/>
    <w:rsid w:val="0007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6B0"/>
  </w:style>
  <w:style w:type="table" w:styleId="Grilledutableau">
    <w:name w:val="Table Grid"/>
    <w:basedOn w:val="TableauNormal"/>
    <w:uiPriority w:val="59"/>
    <w:rsid w:val="00C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D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6B0"/>
  </w:style>
  <w:style w:type="paragraph" w:styleId="Pieddepage">
    <w:name w:val="footer"/>
    <w:basedOn w:val="Normal"/>
    <w:link w:val="PieddepageCar"/>
    <w:uiPriority w:val="99"/>
    <w:unhideWhenUsed/>
    <w:rsid w:val="000716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6B0"/>
  </w:style>
  <w:style w:type="table" w:styleId="Grilledutableau">
    <w:name w:val="Table Grid"/>
    <w:basedOn w:val="TableauNormal"/>
    <w:uiPriority w:val="59"/>
    <w:rsid w:val="00C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D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0E0F-296A-4D56-8D66-064D921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des Casinos du Québec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Gisèle (SCQ)</dc:creator>
  <cp:lastModifiedBy>Dufour Annie</cp:lastModifiedBy>
  <cp:revision>2</cp:revision>
  <cp:lastPrinted>2016-03-18T15:08:00Z</cp:lastPrinted>
  <dcterms:created xsi:type="dcterms:W3CDTF">2016-03-21T16:09:00Z</dcterms:created>
  <dcterms:modified xsi:type="dcterms:W3CDTF">2016-03-21T16:09:00Z</dcterms:modified>
</cp:coreProperties>
</file>